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insoku w:val="0"/>
        <w:overflowPunct w:val="0"/>
        <w:spacing w:line="557" w:lineRule="exact"/>
        <w:jc w:val="both"/>
        <w:rPr>
          <w:rFonts w:hint="eastAsia" w:ascii="Book Antiqua" w:hAnsi="Book Antiqua" w:eastAsia="宋体"/>
          <w:sz w:val="28"/>
          <w:szCs w:val="28"/>
          <w:lang w:val="en-US" w:eastAsia="zh-CN"/>
        </w:rPr>
      </w:pPr>
      <w:r>
        <w:rPr>
          <w:rFonts w:hint="eastAsia" w:ascii="Book Antiqua" w:hAnsi="Book Antiqua" w:eastAsia="宋体"/>
          <w:sz w:val="28"/>
          <w:szCs w:val="28"/>
          <w:lang w:eastAsia="zh-CN"/>
        </w:rPr>
        <w:t>附件</w:t>
      </w:r>
      <w:r>
        <w:rPr>
          <w:rFonts w:hint="eastAsia" w:ascii="Book Antiqua" w:hAnsi="Book Antiqua" w:eastAsia="宋体"/>
          <w:sz w:val="28"/>
          <w:szCs w:val="28"/>
          <w:lang w:val="en-US" w:eastAsia="zh-CN"/>
        </w:rPr>
        <w:t>1</w:t>
      </w:r>
    </w:p>
    <w:p>
      <w:pPr>
        <w:pStyle w:val="2"/>
        <w:kinsoku w:val="0"/>
        <w:overflowPunct w:val="0"/>
        <w:spacing w:line="557" w:lineRule="exact"/>
        <w:ind w:left="555"/>
        <w:jc w:val="center"/>
        <w:rPr>
          <w:rFonts w:hint="eastAsia"/>
          <w:sz w:val="36"/>
          <w:szCs w:val="36"/>
        </w:rPr>
      </w:pPr>
      <w:r>
        <w:rPr>
          <w:rFonts w:hint="default" w:ascii="Book Antiqua" w:hAnsi="Book Antiqua" w:eastAsia="Book Antiqua"/>
          <w:sz w:val="36"/>
          <w:szCs w:val="36"/>
        </w:rPr>
        <w:t>201</w:t>
      </w:r>
      <w:r>
        <w:rPr>
          <w:rFonts w:hint="eastAsia" w:ascii="Book Antiqua" w:hAnsi="Book Antiqua" w:eastAsia="宋体"/>
          <w:sz w:val="36"/>
          <w:szCs w:val="36"/>
          <w:lang w:val="en-US" w:eastAsia="zh-CN"/>
        </w:rPr>
        <w:t>9</w:t>
      </w:r>
      <w:r>
        <w:rPr>
          <w:rFonts w:hint="default" w:ascii="Book Antiqua" w:hAnsi="Book Antiqua" w:eastAsia="Book Antiqua"/>
          <w:spacing w:val="-2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年</w:t>
      </w:r>
      <w:r>
        <w:rPr>
          <w:rFonts w:hint="eastAsia" w:eastAsia="宋体"/>
          <w:sz w:val="36"/>
          <w:szCs w:val="36"/>
          <w:lang w:eastAsia="zh-CN"/>
        </w:rPr>
        <w:t>度双流区</w:t>
      </w:r>
      <w:r>
        <w:rPr>
          <w:rFonts w:hint="eastAsia"/>
          <w:sz w:val="36"/>
          <w:szCs w:val="36"/>
        </w:rPr>
        <w:t>教育科研课题</w:t>
      </w:r>
      <w:r>
        <w:rPr>
          <w:rFonts w:hint="eastAsia" w:eastAsia="宋体"/>
          <w:sz w:val="36"/>
          <w:szCs w:val="36"/>
          <w:lang w:eastAsia="zh-CN"/>
        </w:rPr>
        <w:t>选</w:t>
      </w:r>
      <w:r>
        <w:rPr>
          <w:rFonts w:hint="eastAsia"/>
          <w:sz w:val="36"/>
          <w:szCs w:val="36"/>
        </w:rPr>
        <w:t>题指南</w:t>
      </w:r>
    </w:p>
    <w:p>
      <w:pPr>
        <w:rPr>
          <w:rFonts w:hint="eastAsia"/>
        </w:rPr>
      </w:pPr>
    </w:p>
    <w:p>
      <w:pPr>
        <w:pStyle w:val="3"/>
        <w:kinsoku w:val="0"/>
        <w:overflowPunct w:val="0"/>
        <w:spacing w:line="326" w:lineRule="auto"/>
        <w:ind w:right="106" w:firstLine="64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围绕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教育教学研究的热点、难点问题，根据《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双流区教育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质量品位提升行动计划》《双流区教育局2019年工作要点》，特制定本指南。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本指南所列内容为重点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  <w:lang w:eastAsia="zh-CN"/>
        </w:rPr>
        <w:t>课题选题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方向，一般不宜直接作为课题题目，申报者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  <w:lang w:eastAsia="zh-CN"/>
        </w:rPr>
        <w:t>应以此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为参考，结合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实际拟定研究课题。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autoSpaceDN w:val="0"/>
        <w:bidi w:val="0"/>
        <w:adjustRightInd w:val="0"/>
        <w:snapToGrid/>
        <w:spacing w:line="30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pacing w:val="-4"/>
          <w:w w:val="95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提高教育治理现代化水平的研究。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中小学现代学校制度建设研究 、</w:t>
      </w:r>
      <w:r>
        <w:rPr>
          <w:rFonts w:hint="eastAsia" w:asciiTheme="minorEastAsia" w:hAnsiTheme="minorEastAsia" w:eastAsiaTheme="minorEastAsia" w:cstheme="minorEastAsia"/>
          <w:spacing w:val="-4"/>
          <w:w w:val="95"/>
          <w:sz w:val="28"/>
          <w:szCs w:val="28"/>
        </w:rPr>
        <w:t>“教师自聘、管理自主、经费包干”学校管理变革研究</w:t>
      </w:r>
      <w:r>
        <w:rPr>
          <w:rFonts w:hint="eastAsia" w:asciiTheme="minorEastAsia" w:hAnsiTheme="minorEastAsia" w:eastAsiaTheme="minorEastAsia" w:cstheme="minorEastAsia"/>
          <w:spacing w:val="-4"/>
          <w:w w:val="95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“政府主导、国企参管、学校自主”管理体制改革的现状及对策研究</w:t>
      </w:r>
      <w:r>
        <w:rPr>
          <w:rFonts w:hint="eastAsia" w:asciiTheme="minorEastAsia" w:hAnsiTheme="minorEastAsia" w:eastAsiaTheme="minorEastAsia" w:cstheme="minorEastAsia"/>
          <w:spacing w:val="-4"/>
          <w:w w:val="95"/>
          <w:sz w:val="28"/>
          <w:szCs w:val="28"/>
          <w:lang w:eastAsia="zh-CN"/>
        </w:rPr>
        <w:t>等。</w:t>
      </w:r>
    </w:p>
    <w:p>
      <w:pPr>
        <w:pStyle w:val="3"/>
        <w:kinsoku w:val="0"/>
        <w:overflowPunct w:val="0"/>
        <w:spacing w:before="39"/>
        <w:ind w:right="108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2.落实“立德树人”的根本任务及其实施途径研究。如学生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品格教育研究；提升家长家庭教育素养的策略、路径研究；学生生涯规划教育研究；新时代德育工作有效性研究，德育校本课程开发与实施研究等。</w:t>
      </w:r>
    </w:p>
    <w:p>
      <w:pPr>
        <w:keepNext w:val="0"/>
        <w:keepLines w:val="0"/>
        <w:pageBreakBefore w:val="0"/>
        <w:widowControl w:val="0"/>
        <w:numPr>
          <w:numId w:val="0"/>
        </w:numPr>
        <w:wordWrap/>
        <w:topLinePunct w:val="0"/>
        <w:autoSpaceDE w:val="0"/>
        <w:autoSpaceDN w:val="0"/>
        <w:bidi w:val="0"/>
        <w:adjustRightInd w:val="0"/>
        <w:snapToGrid/>
        <w:spacing w:line="300" w:lineRule="auto"/>
        <w:ind w:leftChars="200" w:firstLine="280" w:firstLineChars="100"/>
        <w:jc w:val="left"/>
        <w:textAlignment w:val="auto"/>
        <w:rPr>
          <w:rFonts w:hint="eastAsia"/>
          <w:spacing w:val="5"/>
          <w:sz w:val="32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3.普通高中优质、特色发展实践研究。包括新高考背景下的校本课程建设和教学改革研究；普通高中“分类、特色”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发展的实践研究；特色高中学生发展指导模式建构研究；</w:t>
      </w:r>
    </w:p>
    <w:p>
      <w:pPr>
        <w:keepNext w:val="0"/>
        <w:keepLines w:val="0"/>
        <w:pageBreakBefore w:val="0"/>
        <w:widowControl w:val="0"/>
        <w:numPr>
          <w:numId w:val="0"/>
        </w:numPr>
        <w:wordWrap/>
        <w:topLinePunct w:val="0"/>
        <w:autoSpaceDE w:val="0"/>
        <w:autoSpaceDN w:val="0"/>
        <w:bidi w:val="0"/>
        <w:adjustRightInd w:val="0"/>
        <w:snapToGrid/>
        <w:spacing w:line="300" w:lineRule="auto"/>
        <w:ind w:leftChars="200" w:firstLine="280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4.4+X课程建设的实践研究。</w:t>
      </w:r>
    </w:p>
    <w:p>
      <w:pPr>
        <w:keepNext w:val="0"/>
        <w:keepLines w:val="0"/>
        <w:pageBreakBefore w:val="0"/>
        <w:widowControl w:val="0"/>
        <w:numPr>
          <w:numId w:val="0"/>
        </w:numPr>
        <w:wordWrap/>
        <w:topLinePunct w:val="0"/>
        <w:autoSpaceDE w:val="0"/>
        <w:autoSpaceDN w:val="0"/>
        <w:bidi w:val="0"/>
        <w:adjustRightInd w:val="0"/>
        <w:snapToGrid/>
        <w:spacing w:line="300" w:lineRule="auto"/>
        <w:ind w:leftChars="200" w:firstLine="280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5.中小学课程纲要的编制与实施研究</w:t>
      </w:r>
    </w:p>
    <w:p>
      <w:pPr>
        <w:pStyle w:val="3"/>
        <w:kinsoku w:val="0"/>
        <w:overflowPunct w:val="0"/>
        <w:spacing w:before="39" w:line="326" w:lineRule="auto"/>
        <w:ind w:right="267" w:firstLine="636" w:firstLineChars="200"/>
        <w:jc w:val="both"/>
        <w:rPr>
          <w:rFonts w:hint="eastAsia" w:eastAsia="宋体"/>
          <w:sz w:val="32"/>
          <w:lang w:val="en-US" w:eastAsia="zh-CN"/>
        </w:rPr>
      </w:pPr>
      <w:r>
        <w:rPr>
          <w:rFonts w:hint="eastAsia"/>
          <w:spacing w:val="-1"/>
          <w:sz w:val="32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基于教学评一致的课堂教学改革研究</w:t>
      </w:r>
    </w:p>
    <w:p>
      <w:pPr>
        <w:keepNext w:val="0"/>
        <w:keepLines w:val="0"/>
        <w:pageBreakBefore w:val="0"/>
        <w:widowControl w:val="0"/>
        <w:numPr>
          <w:numId w:val="0"/>
        </w:numPr>
        <w:wordWrap/>
        <w:topLinePunct w:val="0"/>
        <w:autoSpaceDE w:val="0"/>
        <w:autoSpaceDN w:val="0"/>
        <w:bidi w:val="0"/>
        <w:adjustRightInd w:val="0"/>
        <w:snapToGrid/>
        <w:spacing w:line="300" w:lineRule="auto"/>
        <w:ind w:firstLine="840" w:firstLineChars="3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7.学校精细化管理的实施策略研究</w:t>
      </w:r>
    </w:p>
    <w:p>
      <w:pPr>
        <w:keepNext w:val="0"/>
        <w:keepLines w:val="0"/>
        <w:pageBreakBefore w:val="0"/>
        <w:widowControl w:val="0"/>
        <w:numPr>
          <w:numId w:val="0"/>
        </w:numPr>
        <w:wordWrap/>
        <w:topLinePunct w:val="0"/>
        <w:autoSpaceDE w:val="0"/>
        <w:autoSpaceDN w:val="0"/>
        <w:bidi w:val="0"/>
        <w:adjustRightInd w:val="0"/>
        <w:snapToGrid/>
        <w:spacing w:line="300" w:lineRule="auto"/>
        <w:ind w:firstLine="932" w:firstLineChars="333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8.教育质量综合评价改革研究</w:t>
      </w:r>
    </w:p>
    <w:p>
      <w:pPr>
        <w:keepNext w:val="0"/>
        <w:keepLines w:val="0"/>
        <w:pageBreakBefore w:val="0"/>
        <w:widowControl w:val="0"/>
        <w:numPr>
          <w:numId w:val="0"/>
        </w:numPr>
        <w:wordWrap/>
        <w:topLinePunct w:val="0"/>
        <w:autoSpaceDE w:val="0"/>
        <w:autoSpaceDN w:val="0"/>
        <w:bidi w:val="0"/>
        <w:adjustRightInd w:val="0"/>
        <w:snapToGrid/>
        <w:spacing w:line="300" w:lineRule="auto"/>
        <w:ind w:firstLine="932" w:firstLineChars="333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9.教师队伍建设研究。教师师德师风建设研究；教师专业发展的地方性课程开发研究；中小学教师心理维护研究，“四有好教师”的培养路径研究，教师成长共同体的建设研究等。</w:t>
      </w:r>
    </w:p>
    <w:p>
      <w:pPr>
        <w:pStyle w:val="3"/>
        <w:kinsoku w:val="0"/>
        <w:overflowPunct w:val="0"/>
        <w:spacing w:before="48" w:line="333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10.基于学生核心素养培育的课程教学改革研究。如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基于发展学生学科核心素养的学校课程优化研究；新时代科创教育的创新研究；中小学研学旅行的实施途径和策略研究；综合实践活动课程区域及校本化推进的研究；项目式学习的实践研究；社区（街道）课程资源开发研究；基于学科关键能力培养的学科教学改革研究；人工智能、大数据支持下的教学变革研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autoSpaceDN w:val="0"/>
        <w:bidi w:val="0"/>
        <w:adjustRightInd w:val="0"/>
        <w:snapToGrid/>
        <w:spacing w:line="30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D5E14"/>
    <w:rsid w:val="021F6051"/>
    <w:rsid w:val="094E0108"/>
    <w:rsid w:val="17AE0146"/>
    <w:rsid w:val="189B3F96"/>
    <w:rsid w:val="194F7DED"/>
    <w:rsid w:val="19B00D8E"/>
    <w:rsid w:val="1B101440"/>
    <w:rsid w:val="1E4E37BB"/>
    <w:rsid w:val="2A175D4F"/>
    <w:rsid w:val="2E153D38"/>
    <w:rsid w:val="305C36EA"/>
    <w:rsid w:val="30B51D85"/>
    <w:rsid w:val="330D7DE4"/>
    <w:rsid w:val="3AFE5B30"/>
    <w:rsid w:val="3B0D06E2"/>
    <w:rsid w:val="3B271683"/>
    <w:rsid w:val="43B03983"/>
    <w:rsid w:val="441E2187"/>
    <w:rsid w:val="44C5144E"/>
    <w:rsid w:val="4FD62DF5"/>
    <w:rsid w:val="56355F02"/>
    <w:rsid w:val="57A41960"/>
    <w:rsid w:val="59C233E9"/>
    <w:rsid w:val="5B1D5E14"/>
    <w:rsid w:val="5B9A659E"/>
    <w:rsid w:val="5C8A6ED9"/>
    <w:rsid w:val="5D5508A6"/>
    <w:rsid w:val="5D5E6522"/>
    <w:rsid w:val="5E5C76DA"/>
    <w:rsid w:val="5ED90260"/>
    <w:rsid w:val="5F0E0C63"/>
    <w:rsid w:val="5FAD60FF"/>
    <w:rsid w:val="601D3941"/>
    <w:rsid w:val="657D56A4"/>
    <w:rsid w:val="69AD6EE1"/>
    <w:rsid w:val="69EE155C"/>
    <w:rsid w:val="6BD21132"/>
    <w:rsid w:val="6D09781C"/>
    <w:rsid w:val="6F3E7830"/>
    <w:rsid w:val="78341C5E"/>
    <w:rsid w:val="7CF2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</w:pPr>
    <w:rPr>
      <w:rFonts w:hint="default" w:ascii="Times New Roman" w:hAnsi="Times New Roman" w:eastAsia="宋体" w:cs="Times New Roman"/>
      <w:sz w:val="24"/>
    </w:rPr>
  </w:style>
  <w:style w:type="paragraph" w:styleId="2">
    <w:name w:val="heading 1"/>
    <w:basedOn w:val="1"/>
    <w:next w:val="1"/>
    <w:unhideWhenUsed/>
    <w:qFormat/>
    <w:uiPriority w:val="1"/>
    <w:pPr>
      <w:ind w:left="24"/>
      <w:outlineLvl w:val="0"/>
    </w:pPr>
    <w:rPr>
      <w:rFonts w:hint="eastAsia" w:ascii="PMingLiU" w:hAnsi="PMingLiU" w:eastAsia="PMingLiU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宋体" w:hAnsi="宋体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2019-02-21T01:34:00Z</dcterms:created>
  <dc:creator>Administrator</dc:creator>
  <cp:lastModifiedBy>Administrator</cp:lastModifiedBy>
  <dcterms:modified xsi:type="dcterms:W3CDTF">2019-02-26T07:49:41Z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